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1628" w14:textId="77777777" w:rsidR="00D52AF2" w:rsidRPr="0094674F" w:rsidRDefault="00D52AF2" w:rsidP="00D52AF2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4674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Appendix A </w:t>
      </w:r>
    </w:p>
    <w:p w14:paraId="6EBDE833" w14:textId="77777777" w:rsidR="00D52AF2" w:rsidRDefault="00D52AF2" w:rsidP="00D52AF2">
      <w:pPr>
        <w:spacing w:after="0" w:line="48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UC 4-H Volunteer Educators’ Guide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core content, informing literature, and supplemental training material activities</w:t>
      </w:r>
    </w:p>
    <w:tbl>
      <w:tblPr>
        <w:tblW w:w="1295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2567"/>
        <w:gridCol w:w="2944"/>
        <w:gridCol w:w="2889"/>
        <w:gridCol w:w="1045"/>
        <w:gridCol w:w="3505"/>
      </w:tblGrid>
      <w:tr w:rsidR="00D52AF2" w:rsidRPr="00233841" w14:paraId="72E57D79" w14:textId="77777777" w:rsidTr="00086BAD">
        <w:trPr>
          <w:tblHeader/>
        </w:trPr>
        <w:tc>
          <w:tcPr>
            <w:tcW w:w="8400" w:type="dxa"/>
            <w:gridSpan w:val="3"/>
            <w:vAlign w:val="center"/>
          </w:tcPr>
          <w:p w14:paraId="0681ED7C" w14:textId="77777777" w:rsidR="00D52AF2" w:rsidRPr="00233841" w:rsidRDefault="00D52AF2" w:rsidP="00086BAD">
            <w:pPr>
              <w:spacing w:line="48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233841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UC 4-H Volunteer Educators’ Guide</w:t>
            </w:r>
          </w:p>
        </w:tc>
        <w:tc>
          <w:tcPr>
            <w:tcW w:w="4550" w:type="dxa"/>
            <w:gridSpan w:val="2"/>
            <w:vAlign w:val="center"/>
          </w:tcPr>
          <w:p w14:paraId="41805263" w14:textId="77777777" w:rsidR="00D52AF2" w:rsidRPr="00233841" w:rsidRDefault="00D52AF2" w:rsidP="00086BAD">
            <w:pPr>
              <w:spacing w:line="48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233841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Supplemental Training</w:t>
            </w:r>
          </w:p>
        </w:tc>
      </w:tr>
      <w:tr w:rsidR="00D52AF2" w:rsidRPr="00233841" w14:paraId="2958B9DA" w14:textId="77777777" w:rsidTr="00086BAD">
        <w:trPr>
          <w:tblHeader/>
        </w:trPr>
        <w:tc>
          <w:tcPr>
            <w:tcW w:w="2567" w:type="dxa"/>
            <w:shd w:val="clear" w:color="auto" w:fill="8EAADB"/>
            <w:vAlign w:val="center"/>
          </w:tcPr>
          <w:p w14:paraId="690B7F2B" w14:textId="77777777" w:rsidR="00D52AF2" w:rsidRPr="00233841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233841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Section</w:t>
            </w:r>
          </w:p>
        </w:tc>
        <w:tc>
          <w:tcPr>
            <w:tcW w:w="2944" w:type="dxa"/>
            <w:shd w:val="clear" w:color="auto" w:fill="8EAADB"/>
            <w:vAlign w:val="center"/>
          </w:tcPr>
          <w:p w14:paraId="791A8A55" w14:textId="77777777" w:rsidR="00D52AF2" w:rsidRPr="00233841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233841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Content</w:t>
            </w:r>
          </w:p>
        </w:tc>
        <w:tc>
          <w:tcPr>
            <w:tcW w:w="2889" w:type="dxa"/>
            <w:shd w:val="clear" w:color="auto" w:fill="8EAADB"/>
            <w:vAlign w:val="center"/>
          </w:tcPr>
          <w:p w14:paraId="0A39C66F" w14:textId="77777777" w:rsidR="00D52AF2" w:rsidRPr="00233841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233841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Informing Literature</w:t>
            </w:r>
          </w:p>
        </w:tc>
        <w:tc>
          <w:tcPr>
            <w:tcW w:w="1045" w:type="dxa"/>
            <w:shd w:val="clear" w:color="auto" w:fill="8EAADB"/>
            <w:vAlign w:val="center"/>
          </w:tcPr>
          <w:p w14:paraId="3829DF13" w14:textId="16143E19" w:rsidR="00D52AF2" w:rsidRPr="00233841" w:rsidRDefault="00D52AF2" w:rsidP="00233841">
            <w:pPr>
              <w:spacing w:line="480" w:lineRule="auto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233841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Time &amp; Session</w:t>
            </w:r>
          </w:p>
        </w:tc>
        <w:tc>
          <w:tcPr>
            <w:tcW w:w="3505" w:type="dxa"/>
            <w:shd w:val="clear" w:color="auto" w:fill="8EAADB"/>
            <w:vAlign w:val="center"/>
          </w:tcPr>
          <w:p w14:paraId="395FC015" w14:textId="77777777" w:rsidR="00D52AF2" w:rsidRPr="00233841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233841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Activity Summary</w:t>
            </w:r>
          </w:p>
        </w:tc>
      </w:tr>
      <w:tr w:rsidR="00D52AF2" w14:paraId="17B64105" w14:textId="77777777" w:rsidTr="00086BAD">
        <w:tc>
          <w:tcPr>
            <w:tcW w:w="2567" w:type="dxa"/>
            <w:vAlign w:val="center"/>
          </w:tcPr>
          <w:p w14:paraId="4BDE99F7" w14:textId="77777777" w:rsidR="00D52AF2" w:rsidRDefault="00D52AF2" w:rsidP="00086B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Welcome to 4-H</w:t>
            </w:r>
          </w:p>
        </w:tc>
        <w:tc>
          <w:tcPr>
            <w:tcW w:w="2944" w:type="dxa"/>
            <w:vAlign w:val="center"/>
          </w:tcPr>
          <w:p w14:paraId="35C5744B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Orients </w:t>
            </w:r>
            <w:proofErr w:type="gram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volunteers</w:t>
            </w:r>
            <w:proofErr w:type="gram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to roles, delivery modes, and how to navigate program expectations and supports.</w:t>
            </w:r>
          </w:p>
        </w:tc>
        <w:tc>
          <w:tcPr>
            <w:tcW w:w="2889" w:type="dxa"/>
            <w:vAlign w:val="center"/>
          </w:tcPr>
          <w:p w14:paraId="730B39BC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Kok et al. (2020) identifies volunteers’ need for clear role guidance and foundational training. </w:t>
            </w:r>
          </w:p>
        </w:tc>
        <w:tc>
          <w:tcPr>
            <w:tcW w:w="1045" w:type="dxa"/>
            <w:vAlign w:val="center"/>
          </w:tcPr>
          <w:p w14:paraId="10B2CEFF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20 min</w:t>
            </w:r>
          </w:p>
          <w:p w14:paraId="36BBBD1E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Session 1</w:t>
            </w:r>
          </w:p>
        </w:tc>
        <w:tc>
          <w:tcPr>
            <w:tcW w:w="3505" w:type="dxa"/>
            <w:vAlign w:val="center"/>
          </w:tcPr>
          <w:p w14:paraId="5B52EF61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Icebreaker plus overview; uses simple dice icebreaker to build connection and segue into roles/resources. </w:t>
            </w:r>
          </w:p>
        </w:tc>
      </w:tr>
      <w:tr w:rsidR="00D52AF2" w14:paraId="138367D3" w14:textId="77777777" w:rsidTr="00086BAD">
        <w:tc>
          <w:tcPr>
            <w:tcW w:w="2567" w:type="dxa"/>
            <w:vAlign w:val="center"/>
          </w:tcPr>
          <w:p w14:paraId="45E91C0E" w14:textId="77777777" w:rsidR="00D52AF2" w:rsidRDefault="00D52AF2" w:rsidP="00086B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The 4-H Youth Development Thriving Model</w:t>
            </w:r>
          </w:p>
        </w:tc>
        <w:tc>
          <w:tcPr>
            <w:tcW w:w="2944" w:type="dxa"/>
            <w:vAlign w:val="center"/>
          </w:tcPr>
          <w:p w14:paraId="1AE62A9E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Frames how caring adult relationships, high-quality experiences, and sparks relate to developmental outcomes and longer-term indicators of success.</w:t>
            </w:r>
          </w:p>
        </w:tc>
        <w:tc>
          <w:tcPr>
            <w:tcW w:w="2889" w:type="dxa"/>
            <w:vAlign w:val="center"/>
          </w:tcPr>
          <w:p w14:paraId="0AFDA799" w14:textId="0C19E78D" w:rsidR="00D52AF2" w:rsidRDefault="00186C5C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86C5C">
              <w:rPr>
                <w:rFonts w:ascii="Arial Narrow" w:eastAsia="Arial Narrow" w:hAnsi="Arial Narrow" w:cs="Arial Narrow"/>
                <w:sz w:val="20"/>
                <w:szCs w:val="20"/>
              </w:rPr>
              <w:t>Arnold (2018) introduces and updates the 4-H Thriving Model connecting context → thriving → outcomes.</w:t>
            </w:r>
          </w:p>
        </w:tc>
        <w:tc>
          <w:tcPr>
            <w:tcW w:w="1045" w:type="dxa"/>
            <w:vAlign w:val="center"/>
          </w:tcPr>
          <w:p w14:paraId="401354E6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120 min</w:t>
            </w:r>
          </w:p>
          <w:p w14:paraId="40ACDDDC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Session 1</w:t>
            </w:r>
          </w:p>
        </w:tc>
        <w:tc>
          <w:tcPr>
            <w:tcW w:w="3505" w:type="dxa"/>
            <w:vAlign w:val="center"/>
          </w:tcPr>
          <w:p w14:paraId="42C826C0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Tip-sheet-guided small-group work to apply sparks/relationships/quality; whole-group debrief and application worksheet. </w:t>
            </w:r>
          </w:p>
        </w:tc>
      </w:tr>
      <w:tr w:rsidR="00D52AF2" w14:paraId="1AE8A01A" w14:textId="77777777" w:rsidTr="00086BAD">
        <w:tc>
          <w:tcPr>
            <w:tcW w:w="2567" w:type="dxa"/>
            <w:vAlign w:val="center"/>
          </w:tcPr>
          <w:p w14:paraId="3332B57D" w14:textId="77777777" w:rsidR="00D52AF2" w:rsidRDefault="00D52AF2" w:rsidP="00086B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Program content</w:t>
            </w:r>
          </w:p>
        </w:tc>
        <w:tc>
          <w:tcPr>
            <w:tcW w:w="2944" w:type="dxa"/>
            <w:vAlign w:val="center"/>
          </w:tcPr>
          <w:p w14:paraId="3B6939DA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Summarizes core domains that anchor program planning and learning goals statewide.</w:t>
            </w:r>
          </w:p>
        </w:tc>
        <w:tc>
          <w:tcPr>
            <w:tcW w:w="2889" w:type="dxa"/>
            <w:vAlign w:val="center"/>
          </w:tcPr>
          <w:p w14:paraId="4EDD37F0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UC 4-H Program Framework (Dogan et al., 2012) outlines core content areas. </w:t>
            </w:r>
          </w:p>
        </w:tc>
        <w:tc>
          <w:tcPr>
            <w:tcW w:w="1045" w:type="dxa"/>
            <w:vAlign w:val="center"/>
          </w:tcPr>
          <w:p w14:paraId="17B7C091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45 min</w:t>
            </w:r>
          </w:p>
        </w:tc>
        <w:tc>
          <w:tcPr>
            <w:tcW w:w="3505" w:type="dxa"/>
            <w:vAlign w:val="center"/>
          </w:tcPr>
          <w:p w14:paraId="7F632E00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Small groups use 4-H Project Sheets to map activities to content areas. </w:t>
            </w:r>
          </w:p>
        </w:tc>
      </w:tr>
      <w:tr w:rsidR="00D52AF2" w14:paraId="4E30E75B" w14:textId="77777777" w:rsidTr="00086BAD">
        <w:tc>
          <w:tcPr>
            <w:tcW w:w="2567" w:type="dxa"/>
            <w:vAlign w:val="center"/>
          </w:tcPr>
          <w:p w14:paraId="6952C0B6" w14:textId="77777777" w:rsidR="00D52AF2" w:rsidRDefault="00D52AF2" w:rsidP="00086B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lastRenderedPageBreak/>
              <w:t>Learning in 4-H: experiential education</w:t>
            </w:r>
          </w:p>
        </w:tc>
        <w:tc>
          <w:tcPr>
            <w:tcW w:w="2944" w:type="dxa"/>
            <w:vAlign w:val="center"/>
          </w:tcPr>
          <w:p w14:paraId="26B7F9F5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Describes the do–reflect–apply cycle and how sequenced, hands-on learning builds mastery.</w:t>
            </w:r>
          </w:p>
        </w:tc>
        <w:tc>
          <w:tcPr>
            <w:tcW w:w="2889" w:type="dxa"/>
            <w:vAlign w:val="center"/>
          </w:tcPr>
          <w:p w14:paraId="7AFCFECC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Enfield et al. (2007); Schmitt-McQuitty &amp; </w:t>
            </w:r>
            <w:proofErr w:type="gram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Smith  (</w:t>
            </w:r>
            <w:proofErr w:type="gram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2011); 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Torock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(2009) emphasize the pedagogical value of experiential learning for all 4-H activities.</w:t>
            </w:r>
          </w:p>
        </w:tc>
        <w:tc>
          <w:tcPr>
            <w:tcW w:w="1045" w:type="dxa"/>
            <w:vAlign w:val="center"/>
          </w:tcPr>
          <w:p w14:paraId="56C7CD4C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90 min</w:t>
            </w:r>
          </w:p>
          <w:p w14:paraId="4A1BB9BF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Session 2</w:t>
            </w:r>
          </w:p>
        </w:tc>
        <w:tc>
          <w:tcPr>
            <w:tcW w:w="3505" w:type="dxa"/>
            <w:vAlign w:val="center"/>
          </w:tcPr>
          <w:p w14:paraId="24B1A5C3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Hands-on knot/string activity compares teaching approaches, then models questioning across “do–share–process–generalize–apply.” </w:t>
            </w:r>
          </w:p>
        </w:tc>
      </w:tr>
      <w:tr w:rsidR="00D52AF2" w14:paraId="323958A2" w14:textId="77777777" w:rsidTr="00086BAD">
        <w:tc>
          <w:tcPr>
            <w:tcW w:w="2567" w:type="dxa"/>
            <w:vAlign w:val="center"/>
          </w:tcPr>
          <w:p w14:paraId="45286CC5" w14:textId="77777777" w:rsidR="00D52AF2" w:rsidRDefault="00D52AF2" w:rsidP="00086B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Honoring individual differences: Ages &amp; stages of youth development</w:t>
            </w:r>
          </w:p>
        </w:tc>
        <w:tc>
          <w:tcPr>
            <w:tcW w:w="2944" w:type="dxa"/>
            <w:vAlign w:val="center"/>
          </w:tcPr>
          <w:p w14:paraId="3AE18BD2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Guides adaptation of activities to developmental characteristics across age groups.</w:t>
            </w:r>
          </w:p>
        </w:tc>
        <w:tc>
          <w:tcPr>
            <w:tcW w:w="2889" w:type="dxa"/>
            <w:vAlign w:val="center"/>
          </w:tcPr>
          <w:p w14:paraId="79BDD15A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Schmitt-McQuitty et al. (2011) showed the importance of providing educational programs and opportunities for youth with wide ranges of age and ability.</w:t>
            </w:r>
          </w:p>
        </w:tc>
        <w:tc>
          <w:tcPr>
            <w:tcW w:w="1045" w:type="dxa"/>
            <w:vAlign w:val="center"/>
          </w:tcPr>
          <w:p w14:paraId="02155047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60 min</w:t>
            </w:r>
          </w:p>
          <w:p w14:paraId="06B55A89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Session 3</w:t>
            </w:r>
          </w:p>
        </w:tc>
        <w:tc>
          <w:tcPr>
            <w:tcW w:w="3505" w:type="dxa"/>
            <w:vAlign w:val="center"/>
          </w:tcPr>
          <w:p w14:paraId="765EE9B9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Color-card grouping and poster work to surface developmental traits followed by adapting a lesson plan to each age band. </w:t>
            </w:r>
          </w:p>
        </w:tc>
      </w:tr>
      <w:tr w:rsidR="00D52AF2" w14:paraId="29B55950" w14:textId="77777777" w:rsidTr="00086BAD">
        <w:tc>
          <w:tcPr>
            <w:tcW w:w="2567" w:type="dxa"/>
            <w:vAlign w:val="center"/>
          </w:tcPr>
          <w:p w14:paraId="5D0A01E9" w14:textId="77777777" w:rsidR="00D52AF2" w:rsidRDefault="00D52AF2" w:rsidP="00086B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Be in the Know-A look at 4-H lingo</w:t>
            </w:r>
          </w:p>
        </w:tc>
        <w:tc>
          <w:tcPr>
            <w:tcW w:w="2944" w:type="dxa"/>
            <w:vAlign w:val="center"/>
          </w:tcPr>
          <w:p w14:paraId="63F83749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Defines common terms so volunteers can communicate clearly across the program.</w:t>
            </w:r>
          </w:p>
        </w:tc>
        <w:tc>
          <w:tcPr>
            <w:tcW w:w="2889" w:type="dxa"/>
            <w:vAlign w:val="center"/>
          </w:tcPr>
          <w:p w14:paraId="446DDE16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045" w:type="dxa"/>
            <w:vAlign w:val="center"/>
          </w:tcPr>
          <w:p w14:paraId="45EDC16B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20 min</w:t>
            </w:r>
          </w:p>
        </w:tc>
        <w:tc>
          <w:tcPr>
            <w:tcW w:w="3505" w:type="dxa"/>
            <w:vAlign w:val="center"/>
          </w:tcPr>
          <w:p w14:paraId="4D21EE07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Fast-paced game/quiz show on terms; optional mini-whiteboards, prizes for points. </w:t>
            </w:r>
          </w:p>
        </w:tc>
      </w:tr>
      <w:tr w:rsidR="00D52AF2" w14:paraId="1AD0649A" w14:textId="77777777" w:rsidTr="00086BAD">
        <w:tc>
          <w:tcPr>
            <w:tcW w:w="2567" w:type="dxa"/>
            <w:vAlign w:val="center"/>
          </w:tcPr>
          <w:p w14:paraId="2D301294" w14:textId="77777777" w:rsidR="00D52AF2" w:rsidRDefault="00D52AF2" w:rsidP="00086B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lastRenderedPageBreak/>
              <w:t>Working with 4-H youth (extended learning)</w:t>
            </w:r>
          </w:p>
        </w:tc>
        <w:tc>
          <w:tcPr>
            <w:tcW w:w="2944" w:type="dxa"/>
            <w:vAlign w:val="center"/>
          </w:tcPr>
          <w:p w14:paraId="28457A4E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Offers a variety of extended learning opportunities (fairs, record books, showmanship)</w:t>
            </w:r>
          </w:p>
        </w:tc>
        <w:tc>
          <w:tcPr>
            <w:tcW w:w="2889" w:type="dxa"/>
            <w:vAlign w:val="center"/>
          </w:tcPr>
          <w:p w14:paraId="0C71C134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UC 4-H Program Framework (Dogan et al., 2012) includes several extended learning and capstone opportunities.  </w:t>
            </w:r>
          </w:p>
        </w:tc>
        <w:tc>
          <w:tcPr>
            <w:tcW w:w="1045" w:type="dxa"/>
            <w:vAlign w:val="center"/>
          </w:tcPr>
          <w:p w14:paraId="030DAA95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60 min</w:t>
            </w:r>
          </w:p>
          <w:p w14:paraId="3E55BC91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Session 3</w:t>
            </w:r>
          </w:p>
        </w:tc>
        <w:tc>
          <w:tcPr>
            <w:tcW w:w="3505" w:type="dxa"/>
            <w:vAlign w:val="center"/>
          </w:tcPr>
          <w:p w14:paraId="7A2FE77B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Teams analyze 4-H Project Sheets and identify extended-learning add-ons (service learning, presentations, records). </w:t>
            </w:r>
          </w:p>
        </w:tc>
      </w:tr>
      <w:tr w:rsidR="00D52AF2" w14:paraId="092FB27E" w14:textId="77777777" w:rsidTr="00086BAD">
        <w:tc>
          <w:tcPr>
            <w:tcW w:w="2567" w:type="dxa"/>
            <w:vAlign w:val="center"/>
          </w:tcPr>
          <w:p w14:paraId="47B038CB" w14:textId="77777777" w:rsidR="00D52AF2" w:rsidRDefault="00D52AF2" w:rsidP="00086B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The volunteer lesson plan</w:t>
            </w:r>
          </w:p>
        </w:tc>
        <w:tc>
          <w:tcPr>
            <w:tcW w:w="2944" w:type="dxa"/>
            <w:vAlign w:val="center"/>
          </w:tcPr>
          <w:p w14:paraId="4E7F9D36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Provides sample agendas and planning tools to structure purposeful meetings and reduce confusion.</w:t>
            </w:r>
          </w:p>
        </w:tc>
        <w:tc>
          <w:tcPr>
            <w:tcW w:w="2889" w:type="dxa"/>
            <w:vAlign w:val="center"/>
          </w:tcPr>
          <w:p w14:paraId="10BEF5D0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Horton (1991) highlights training project leaders on lesson planning; Worker (2017) argues PD aligned to learning goals improves quality. </w:t>
            </w:r>
          </w:p>
        </w:tc>
        <w:tc>
          <w:tcPr>
            <w:tcW w:w="1045" w:type="dxa"/>
            <w:vAlign w:val="center"/>
          </w:tcPr>
          <w:p w14:paraId="08E8F433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60 min</w:t>
            </w:r>
          </w:p>
          <w:p w14:paraId="6BECEE83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Session 2</w:t>
            </w:r>
          </w:p>
        </w:tc>
        <w:tc>
          <w:tcPr>
            <w:tcW w:w="3505" w:type="dxa"/>
            <w:vAlign w:val="center"/>
          </w:tcPr>
          <w:p w14:paraId="7B871B4F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Walk-through of the Project Leaders Checklist, then start a session plan with the Project Design Kit; reflect on challenges and next steps. </w:t>
            </w:r>
          </w:p>
        </w:tc>
      </w:tr>
      <w:tr w:rsidR="00D52AF2" w14:paraId="1B4D48AA" w14:textId="77777777" w:rsidTr="00086BAD">
        <w:tc>
          <w:tcPr>
            <w:tcW w:w="2567" w:type="dxa"/>
            <w:vAlign w:val="center"/>
          </w:tcPr>
          <w:p w14:paraId="05DF4AF1" w14:textId="77777777" w:rsidR="00D52AF2" w:rsidRDefault="00D52AF2" w:rsidP="00086B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Online learning &amp; digital communications</w:t>
            </w:r>
          </w:p>
        </w:tc>
        <w:tc>
          <w:tcPr>
            <w:tcW w:w="2944" w:type="dxa"/>
            <w:vAlign w:val="center"/>
          </w:tcPr>
          <w:p w14:paraId="624AB7BF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Adapts core 4-H practices to virtual and blended contexts while keeping relationships and reflection central.</w:t>
            </w:r>
          </w:p>
        </w:tc>
        <w:tc>
          <w:tcPr>
            <w:tcW w:w="2889" w:type="dxa"/>
            <w:vAlign w:val="center"/>
          </w:tcPr>
          <w:p w14:paraId="6777FD11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Worker (2021) provided research-based educator fact sheets on practices to conduct virtual 4-H programming. </w:t>
            </w:r>
          </w:p>
        </w:tc>
        <w:tc>
          <w:tcPr>
            <w:tcW w:w="1045" w:type="dxa"/>
            <w:vAlign w:val="center"/>
          </w:tcPr>
          <w:p w14:paraId="0134577C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30 min</w:t>
            </w:r>
          </w:p>
        </w:tc>
        <w:tc>
          <w:tcPr>
            <w:tcW w:w="3505" w:type="dxa"/>
            <w:vAlign w:val="center"/>
          </w:tcPr>
          <w:p w14:paraId="500CEF83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Template-driven planning for an online session; discuss tools/workflow for communication and engagement. </w:t>
            </w:r>
          </w:p>
        </w:tc>
      </w:tr>
      <w:tr w:rsidR="00D52AF2" w14:paraId="49CC3A5A" w14:textId="77777777" w:rsidTr="00086BAD">
        <w:tc>
          <w:tcPr>
            <w:tcW w:w="2567" w:type="dxa"/>
            <w:vAlign w:val="center"/>
          </w:tcPr>
          <w:p w14:paraId="7EE9590D" w14:textId="77777777" w:rsidR="00D52AF2" w:rsidRDefault="00D52AF2" w:rsidP="00086B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lastRenderedPageBreak/>
              <w:t>Youth–adult partnerships</w:t>
            </w:r>
          </w:p>
        </w:tc>
        <w:tc>
          <w:tcPr>
            <w:tcW w:w="2944" w:type="dxa"/>
            <w:vAlign w:val="center"/>
          </w:tcPr>
          <w:p w14:paraId="590A49DF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Defines authentic power-sharing and practices that elevate youth voice in planning and delivery.</w:t>
            </w:r>
          </w:p>
        </w:tc>
        <w:tc>
          <w:tcPr>
            <w:tcW w:w="2889" w:type="dxa"/>
            <w:vAlign w:val="center"/>
          </w:tcPr>
          <w:p w14:paraId="7AC0DD7B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Zeldin et al. (2013) and Hart (1992) </w:t>
            </w:r>
            <w:proofErr w:type="gram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describes</w:t>
            </w:r>
            <w:proofErr w:type="gram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structures and practices for integrating youth into decision-making in youth programs. </w:t>
            </w:r>
          </w:p>
        </w:tc>
        <w:tc>
          <w:tcPr>
            <w:tcW w:w="1045" w:type="dxa"/>
            <w:vAlign w:val="center"/>
          </w:tcPr>
          <w:p w14:paraId="53FD9FFC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60 min</w:t>
            </w:r>
          </w:p>
          <w:p w14:paraId="43EF5A64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Session 4</w:t>
            </w:r>
          </w:p>
        </w:tc>
        <w:tc>
          <w:tcPr>
            <w:tcW w:w="3505" w:type="dxa"/>
            <w:vAlign w:val="center"/>
          </w:tcPr>
          <w:p w14:paraId="506B91FB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Hart’s Ladder poster activity: place scenarios on rungs, write new ones, and reflect on moving toward partnership. </w:t>
            </w:r>
          </w:p>
        </w:tc>
      </w:tr>
      <w:tr w:rsidR="00D52AF2" w14:paraId="400C46FC" w14:textId="77777777" w:rsidTr="00086BAD">
        <w:tc>
          <w:tcPr>
            <w:tcW w:w="2567" w:type="dxa"/>
            <w:vAlign w:val="center"/>
          </w:tcPr>
          <w:p w14:paraId="3AE76550" w14:textId="77777777" w:rsidR="00D52AF2" w:rsidRDefault="00D52AF2" w:rsidP="00086B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Best practices for working with youth leaders</w:t>
            </w:r>
          </w:p>
        </w:tc>
        <w:tc>
          <w:tcPr>
            <w:tcW w:w="2944" w:type="dxa"/>
            <w:vAlign w:val="center"/>
          </w:tcPr>
          <w:p w14:paraId="5A268700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Outlines how to recruit, prepare, support, and recognize teen leaders and teen teachers.</w:t>
            </w:r>
          </w:p>
        </w:tc>
        <w:tc>
          <w:tcPr>
            <w:tcW w:w="2889" w:type="dxa"/>
            <w:vAlign w:val="center"/>
          </w:tcPr>
          <w:p w14:paraId="1315FC25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Lee et al. (2001) provide empirical-based guidance for teen educator roles.</w:t>
            </w:r>
          </w:p>
        </w:tc>
        <w:tc>
          <w:tcPr>
            <w:tcW w:w="1045" w:type="dxa"/>
            <w:vAlign w:val="center"/>
          </w:tcPr>
          <w:p w14:paraId="4D76D58E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30 min</w:t>
            </w:r>
          </w:p>
          <w:p w14:paraId="62EB98AD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Session 4</w:t>
            </w:r>
          </w:p>
        </w:tc>
        <w:tc>
          <w:tcPr>
            <w:tcW w:w="3505" w:type="dxa"/>
            <w:vAlign w:val="center"/>
          </w:tcPr>
          <w:p w14:paraId="034D1ADD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Individual and group reflection on leadership competencies and GPS (goal selection, pursuit, shifting gears) when working with teen leaders. </w:t>
            </w:r>
          </w:p>
        </w:tc>
      </w:tr>
      <w:tr w:rsidR="00D52AF2" w14:paraId="1BC1A337" w14:textId="77777777" w:rsidTr="00086BAD">
        <w:tc>
          <w:tcPr>
            <w:tcW w:w="2567" w:type="dxa"/>
            <w:vAlign w:val="center"/>
          </w:tcPr>
          <w:p w14:paraId="320BFBF4" w14:textId="77777777" w:rsidR="00D52AF2" w:rsidRDefault="00D52AF2" w:rsidP="00086B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Safety &amp; insurance</w:t>
            </w:r>
          </w:p>
        </w:tc>
        <w:tc>
          <w:tcPr>
            <w:tcW w:w="2944" w:type="dxa"/>
            <w:vAlign w:val="center"/>
          </w:tcPr>
          <w:p w14:paraId="10CD9849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Sets expectations and links to policies that protect youth and volunteers during activities and travel.</w:t>
            </w:r>
          </w:p>
        </w:tc>
        <w:tc>
          <w:tcPr>
            <w:tcW w:w="2889" w:type="dxa"/>
            <w:vAlign w:val="center"/>
          </w:tcPr>
          <w:p w14:paraId="3A57D76D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UC 4-H Policy and UC ANR risk and safety</w:t>
            </w:r>
          </w:p>
        </w:tc>
        <w:tc>
          <w:tcPr>
            <w:tcW w:w="1045" w:type="dxa"/>
          </w:tcPr>
          <w:p w14:paraId="56F03F32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60 min</w:t>
            </w:r>
          </w:p>
        </w:tc>
        <w:tc>
          <w:tcPr>
            <w:tcW w:w="3505" w:type="dxa"/>
          </w:tcPr>
          <w:p w14:paraId="59B54FC2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Project leaders analyze scenarios, decide what they would do, and report out. Scenarios include common policy, conflict, and relational issues. </w:t>
            </w:r>
          </w:p>
        </w:tc>
      </w:tr>
      <w:tr w:rsidR="00D52AF2" w14:paraId="760F0926" w14:textId="77777777" w:rsidTr="00086BAD">
        <w:tc>
          <w:tcPr>
            <w:tcW w:w="2567" w:type="dxa"/>
            <w:vAlign w:val="center"/>
          </w:tcPr>
          <w:p w14:paraId="6E9F315F" w14:textId="77777777" w:rsidR="00D52AF2" w:rsidRDefault="00D52AF2" w:rsidP="00086B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lastRenderedPageBreak/>
              <w:t xml:space="preserve">Resources - where do you go for help? </w:t>
            </w:r>
          </w:p>
        </w:tc>
        <w:tc>
          <w:tcPr>
            <w:tcW w:w="2944" w:type="dxa"/>
            <w:vAlign w:val="center"/>
          </w:tcPr>
          <w:p w14:paraId="6C35F2C9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Curates</w:t>
            </w:r>
            <w:proofErr w:type="gram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checklists, forms, and contacts to sustain implementation and compliance.</w:t>
            </w:r>
          </w:p>
        </w:tc>
        <w:tc>
          <w:tcPr>
            <w:tcW w:w="2889" w:type="dxa"/>
            <w:vAlign w:val="center"/>
          </w:tcPr>
          <w:p w14:paraId="6CAFEACC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Go et al. (2018) needs assessments show demand for accessible, ongoing resources and supports.</w:t>
            </w:r>
          </w:p>
        </w:tc>
        <w:tc>
          <w:tcPr>
            <w:tcW w:w="1045" w:type="dxa"/>
          </w:tcPr>
          <w:p w14:paraId="33CF95F6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N/A</w:t>
            </w:r>
          </w:p>
        </w:tc>
        <w:tc>
          <w:tcPr>
            <w:tcW w:w="3505" w:type="dxa"/>
          </w:tcPr>
          <w:p w14:paraId="3DB8CFF7" w14:textId="77777777" w:rsidR="00D52AF2" w:rsidRDefault="00D52AF2" w:rsidP="00086BAD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N/A</w:t>
            </w:r>
          </w:p>
        </w:tc>
      </w:tr>
    </w:tbl>
    <w:p w14:paraId="39DEEF84" w14:textId="77777777" w:rsidR="00D52AF2" w:rsidRDefault="00D52AF2" w:rsidP="00D52AF2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D55971F" w14:textId="77777777" w:rsidR="004523F4" w:rsidRDefault="004523F4" w:rsidP="00D52AF2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8976668" w14:textId="3EC0965F" w:rsidR="00D52AF2" w:rsidRDefault="00D52AF2" w:rsidP="00D52AF2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Appendix References</w:t>
      </w:r>
    </w:p>
    <w:p w14:paraId="23407A40" w14:textId="77777777" w:rsidR="00D52AF2" w:rsidRDefault="00D52AF2" w:rsidP="00D52AF2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Enfield, R. P., Schmitt-McQuitty, L., &amp; Smith, M. H. (2007). The development and evaluation of experiential learning workshops for 4-H volunteers.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Journal of Extension, 45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(1). </w:t>
      </w:r>
      <w:hyperlink r:id="rId7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https://open.clemson.edu/joe/vol45/iss1/4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7B9EB440" w14:textId="77777777" w:rsidR="00D52AF2" w:rsidRDefault="00D52AF2" w:rsidP="00D52AF2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Hart, R. A. (1992).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Children’s participation: From tokenism to citizenship.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UNICEF Innocenti Essay.</w:t>
      </w:r>
    </w:p>
    <w:p w14:paraId="1275F4A3" w14:textId="77777777" w:rsidR="00D52AF2" w:rsidRDefault="00D52AF2" w:rsidP="00D52AF2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Horton, R. L. (1991). Lesson planning strategies for 4-H project leaders.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Journal of Extension, 29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(2). </w:t>
      </w:r>
      <w:hyperlink r:id="rId8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https://open.clemson.edu/joe/vol29/iss2/31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5236CE95" w14:textId="77777777" w:rsidR="00D52AF2" w:rsidRDefault="00D52AF2" w:rsidP="00D52AF2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Lee, F. C. H., &amp; Murdock, S. (2001). Teenagers as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teachers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programs: Ten essential elements.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Journal of Extension, 39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(1). </w:t>
      </w:r>
      <w:hyperlink r:id="rId9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https://open.clemson.edu/joe/vol39/iss1/8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1B9FFAE7" w14:textId="77777777" w:rsidR="00D52AF2" w:rsidRDefault="00D52AF2" w:rsidP="00D52AF2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Torock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J. L. (2009). Experiential learning and Cooperative Extension: Partners in non-formal education for a century and beyond.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Journal of Extension, 47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(6), Article 6COM1. </w:t>
      </w:r>
      <w:hyperlink r:id="rId10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https://open.clemson.edu/joe/vol47/iss6/24/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6369426A" w14:textId="77777777" w:rsidR="00D52AF2" w:rsidRDefault="00D52AF2" w:rsidP="00D52AF2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Schmitt-McQuitty, L., Smith, M. H., &amp; Young, J. C. (2011). Preparing volunteers to meet the developmental needs of youth audiences. 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highlight w:val="white"/>
        </w:rPr>
        <w:t>The Journal of Extension, 49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(1). </w:t>
      </w:r>
      <w:hyperlink r:id="rId11">
        <w:r>
          <w:rPr>
            <w:rFonts w:ascii="Times New Roman" w:eastAsia="Times New Roman" w:hAnsi="Times New Roman" w:cs="Times New Roman"/>
            <w:color w:val="104E7B"/>
            <w:sz w:val="24"/>
            <w:szCs w:val="24"/>
            <w:highlight w:val="white"/>
            <w:u w:val="single"/>
          </w:rPr>
          <w:t>https://doi.org/10.34068/joe.49.01.12</w:t>
        </w:r>
      </w:hyperlink>
    </w:p>
    <w:p w14:paraId="5825B5D2" w14:textId="77777777" w:rsidR="00D52AF2" w:rsidRDefault="00D52AF2" w:rsidP="00D52AF2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Schmitt-McQuitty, L., &amp; Smith, M. H. (2011). Moving beyond the demonstration model: The importance of experiential learning in the 4-H Youth Development Program. In A. Subramaniam, K. Heck, R. Carlos, &amp; S. K. Junge (Eds.),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Advances in youth development: Research and evaluation from the University of California Cooperative Extension, 2001–2010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(pp. 83–90). University of California Agriculture and Natural Resources.</w:t>
      </w:r>
    </w:p>
    <w:p w14:paraId="39BD26E9" w14:textId="77777777" w:rsidR="00D52AF2" w:rsidRDefault="00D52AF2" w:rsidP="00D52AF2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Worker, S. M. (2021). Integrating experiential education into the digital realm.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University of California, Agriculture and Natural Resources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[Publication 8699]. </w:t>
      </w:r>
      <w:hyperlink r:id="rId12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https://doi.org/10.3733/ucanr.8699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88A8885" w14:textId="77777777" w:rsidR="00D52AF2" w:rsidRDefault="00D52AF2" w:rsidP="00D52AF2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Zeldin, S., Christens, B. D., &amp; Powers, J. L. (2013). The psychology and practice of youth–adult partnership: Bridging generations for youth development and community change.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American Journal of Community Psychology, 51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(3–4), 385–397. </w:t>
      </w:r>
      <w:hyperlink r:id="rId13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https://doi.org/10.1007/s10464-012-9558-y</w:t>
        </w:r>
      </w:hyperlink>
    </w:p>
    <w:p w14:paraId="360A7386" w14:textId="77777777" w:rsidR="00460604" w:rsidRDefault="00460604"/>
    <w:sectPr w:rsidR="00460604" w:rsidSect="00D52AF2">
      <w:headerReference w:type="default" r:id="rId14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39FB3" w14:textId="77777777" w:rsidR="00EF4D0E" w:rsidRDefault="00EF4D0E" w:rsidP="00081794">
      <w:pPr>
        <w:spacing w:after="0" w:line="240" w:lineRule="auto"/>
      </w:pPr>
      <w:r>
        <w:separator/>
      </w:r>
    </w:p>
  </w:endnote>
  <w:endnote w:type="continuationSeparator" w:id="0">
    <w:p w14:paraId="5776C69A" w14:textId="77777777" w:rsidR="00EF4D0E" w:rsidRDefault="00EF4D0E" w:rsidP="00081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7D6AA" w14:textId="77777777" w:rsidR="00EF4D0E" w:rsidRDefault="00EF4D0E" w:rsidP="00081794">
      <w:pPr>
        <w:spacing w:after="0" w:line="240" w:lineRule="auto"/>
      </w:pPr>
      <w:r>
        <w:separator/>
      </w:r>
    </w:p>
  </w:footnote>
  <w:footnote w:type="continuationSeparator" w:id="0">
    <w:p w14:paraId="1D59AB05" w14:textId="77777777" w:rsidR="00EF4D0E" w:rsidRDefault="00EF4D0E" w:rsidP="000817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82F66" w14:textId="06D89ED1" w:rsidR="00081794" w:rsidRDefault="00081794" w:rsidP="00081794">
    <w:pPr>
      <w:pStyle w:val="Header"/>
      <w:rPr>
        <w:sz w:val="18"/>
        <w:szCs w:val="18"/>
        <w:lang w:val="en-US"/>
      </w:rPr>
    </w:pPr>
    <w:r w:rsidRPr="00081794">
      <w:rPr>
        <w:sz w:val="18"/>
        <w:szCs w:val="18"/>
        <w:lang w:val="en-US"/>
      </w:rPr>
      <w:t xml:space="preserve">Marshall-Wheeler, Nicole, Steven M. Worker, Gemma Miner, </w:t>
    </w:r>
    <w:proofErr w:type="spellStart"/>
    <w:r w:rsidRPr="00081794">
      <w:rPr>
        <w:sz w:val="18"/>
        <w:szCs w:val="18"/>
        <w:lang w:val="en-US"/>
      </w:rPr>
      <w:t>JoLynn</w:t>
    </w:r>
    <w:proofErr w:type="spellEnd"/>
    <w:r w:rsidRPr="00081794">
      <w:rPr>
        <w:sz w:val="18"/>
        <w:szCs w:val="18"/>
        <w:lang w:val="en-US"/>
      </w:rPr>
      <w:t xml:space="preserve"> C. Miller, and Matthew Rodriguez. 2026. “Elevating the Quality of 4-H Volunteer Learning: Development of the U C 4-H Volunteer Educators’ Guide and Training Series.” Calif </w:t>
    </w:r>
    <w:proofErr w:type="spellStart"/>
    <w:r w:rsidRPr="00081794">
      <w:rPr>
        <w:sz w:val="18"/>
        <w:szCs w:val="18"/>
        <w:lang w:val="en-US"/>
      </w:rPr>
      <w:t>Agr</w:t>
    </w:r>
    <w:proofErr w:type="spellEnd"/>
    <w:r w:rsidRPr="00081794">
      <w:rPr>
        <w:sz w:val="18"/>
        <w:szCs w:val="18"/>
        <w:lang w:val="en-US"/>
      </w:rPr>
      <w:t xml:space="preserve"> 80.</w:t>
    </w:r>
    <w:r w:rsidRPr="00081794">
      <w:rPr>
        <w:sz w:val="18"/>
        <w:szCs w:val="18"/>
        <w:lang w:val="en-US"/>
      </w:rPr>
      <w:t xml:space="preserve"> </w:t>
    </w:r>
    <w:hyperlink r:id="rId1" w:history="1">
      <w:r w:rsidRPr="002C7B3A">
        <w:rPr>
          <w:rStyle w:val="Hyperlink"/>
          <w:sz w:val="18"/>
          <w:szCs w:val="18"/>
          <w:lang w:val="en-US"/>
        </w:rPr>
        <w:t>https://doi.org/10.3733/001c.169383</w:t>
      </w:r>
    </w:hyperlink>
  </w:p>
  <w:p w14:paraId="0D6040BB" w14:textId="77777777" w:rsidR="00081794" w:rsidRDefault="00081794" w:rsidP="00081794">
    <w:pPr>
      <w:pStyle w:val="Header"/>
      <w:rPr>
        <w:sz w:val="24"/>
        <w:szCs w:val="24"/>
      </w:rPr>
    </w:pPr>
  </w:p>
  <w:p w14:paraId="03AC5A61" w14:textId="77777777" w:rsidR="00E27227" w:rsidRPr="00081794" w:rsidRDefault="00E27227" w:rsidP="00081794">
    <w:pPr>
      <w:pStyle w:val="Head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8A5B9F"/>
    <w:multiLevelType w:val="multilevel"/>
    <w:tmpl w:val="29FADD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651327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3DD735A7-BD2C-42C9-9EC3-24411B60C9A7}"/>
    <w:docVar w:name="dgnword-eventsink" w:val="2346485980560"/>
  </w:docVars>
  <w:rsids>
    <w:rsidRoot w:val="00D52AF2"/>
    <w:rsid w:val="00081794"/>
    <w:rsid w:val="00164BDF"/>
    <w:rsid w:val="00186C5C"/>
    <w:rsid w:val="001A4181"/>
    <w:rsid w:val="00225E68"/>
    <w:rsid w:val="00233841"/>
    <w:rsid w:val="00291E79"/>
    <w:rsid w:val="002A61EF"/>
    <w:rsid w:val="002E009A"/>
    <w:rsid w:val="00347D68"/>
    <w:rsid w:val="004523F4"/>
    <w:rsid w:val="0045420E"/>
    <w:rsid w:val="00460604"/>
    <w:rsid w:val="0072453D"/>
    <w:rsid w:val="0094674F"/>
    <w:rsid w:val="0096342B"/>
    <w:rsid w:val="00AF3A19"/>
    <w:rsid w:val="00B2444B"/>
    <w:rsid w:val="00D52AF2"/>
    <w:rsid w:val="00DA723B"/>
    <w:rsid w:val="00E27227"/>
    <w:rsid w:val="00EF4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C3A73"/>
  <w15:chartTrackingRefBased/>
  <w15:docId w15:val="{F1576B29-BC34-4ECD-B53D-5E8BC00A8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2AF2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2444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61E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kern w:val="2"/>
      <w:sz w:val="26"/>
      <w:szCs w:val="26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0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kern w:val="2"/>
      <w:szCs w:val="24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2A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2A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2A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2A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2A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2A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444B"/>
    <w:rPr>
      <w:rFonts w:asciiTheme="majorHAnsi" w:eastAsiaTheme="majorEastAsia" w:hAnsiTheme="majorHAnsi" w:cstheme="majorBidi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A61EF"/>
    <w:rPr>
      <w:rFonts w:asciiTheme="majorHAnsi" w:eastAsiaTheme="majorEastAsia" w:hAnsiTheme="majorHAnsi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E009A"/>
    <w:rPr>
      <w:rFonts w:asciiTheme="majorHAnsi" w:eastAsiaTheme="majorEastAsia" w:hAnsiTheme="majorHAnsi" w:cstheme="majorBidi"/>
    </w:rPr>
  </w:style>
  <w:style w:type="paragraph" w:styleId="Title">
    <w:name w:val="Title"/>
    <w:basedOn w:val="Normal"/>
    <w:next w:val="Normal"/>
    <w:link w:val="TitleChar"/>
    <w:uiPriority w:val="10"/>
    <w:qFormat/>
    <w:rsid w:val="002E009A"/>
    <w:pPr>
      <w:spacing w:after="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E009A"/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2AF2"/>
    <w:rPr>
      <w:rFonts w:eastAsiaTheme="majorEastAsia" w:cstheme="majorBidi"/>
      <w:i/>
      <w:iCs/>
      <w:color w:val="0F4761" w:themeColor="accent1" w:themeShade="BF"/>
      <w:kern w:val="0"/>
      <w:sz w:val="22"/>
      <w:szCs w:val="22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2AF2"/>
    <w:rPr>
      <w:rFonts w:eastAsiaTheme="majorEastAsia" w:cstheme="majorBidi"/>
      <w:color w:val="0F4761" w:themeColor="accent1" w:themeShade="BF"/>
      <w:kern w:val="0"/>
      <w:sz w:val="22"/>
      <w:szCs w:val="22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2AF2"/>
    <w:rPr>
      <w:rFonts w:eastAsiaTheme="majorEastAsia" w:cstheme="majorBidi"/>
      <w:i/>
      <w:iCs/>
      <w:color w:val="595959" w:themeColor="text1" w:themeTint="A6"/>
      <w:kern w:val="0"/>
      <w:sz w:val="22"/>
      <w:szCs w:val="22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2AF2"/>
    <w:rPr>
      <w:rFonts w:eastAsiaTheme="majorEastAsia" w:cstheme="majorBidi"/>
      <w:color w:val="595959" w:themeColor="text1" w:themeTint="A6"/>
      <w:kern w:val="0"/>
      <w:sz w:val="22"/>
      <w:szCs w:val="2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2AF2"/>
    <w:rPr>
      <w:rFonts w:eastAsiaTheme="majorEastAsia" w:cstheme="majorBidi"/>
      <w:i/>
      <w:iCs/>
      <w:color w:val="272727" w:themeColor="text1" w:themeTint="D8"/>
      <w:kern w:val="0"/>
      <w:sz w:val="22"/>
      <w:szCs w:val="22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2AF2"/>
    <w:rPr>
      <w:rFonts w:eastAsiaTheme="majorEastAsia" w:cstheme="majorBidi"/>
      <w:color w:val="272727" w:themeColor="text1" w:themeTint="D8"/>
      <w:kern w:val="0"/>
      <w:sz w:val="22"/>
      <w:szCs w:val="22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2A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2AF2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D52A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2AF2"/>
    <w:rPr>
      <w:i/>
      <w:iCs/>
      <w:color w:val="404040" w:themeColor="text1" w:themeTint="BF"/>
      <w:kern w:val="0"/>
      <w:sz w:val="22"/>
      <w:szCs w:val="22"/>
      <w14:ligatures w14:val="none"/>
    </w:rPr>
  </w:style>
  <w:style w:type="paragraph" w:styleId="ListParagraph">
    <w:name w:val="List Paragraph"/>
    <w:basedOn w:val="Normal"/>
    <w:uiPriority w:val="34"/>
    <w:qFormat/>
    <w:rsid w:val="00D52A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2A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A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AF2"/>
    <w:rPr>
      <w:i/>
      <w:iCs/>
      <w:color w:val="0F4761" w:themeColor="accent1" w:themeShade="BF"/>
      <w:kern w:val="0"/>
      <w:sz w:val="22"/>
      <w:szCs w:val="22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D52AF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1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1794"/>
    <w:rPr>
      <w:rFonts w:ascii="Calibri" w:eastAsia="Calibri" w:hAnsi="Calibri" w:cs="Calibri"/>
      <w:kern w:val="0"/>
      <w:sz w:val="22"/>
      <w:szCs w:val="22"/>
      <w:lang w:val="e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81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1794"/>
    <w:rPr>
      <w:rFonts w:ascii="Calibri" w:eastAsia="Calibri" w:hAnsi="Calibri" w:cs="Calibri"/>
      <w:kern w:val="0"/>
      <w:sz w:val="22"/>
      <w:szCs w:val="22"/>
      <w:lang w:val="en"/>
      <w14:ligatures w14:val="none"/>
    </w:rPr>
  </w:style>
  <w:style w:type="character" w:styleId="Hyperlink">
    <w:name w:val="Hyperlink"/>
    <w:basedOn w:val="DefaultParagraphFont"/>
    <w:uiPriority w:val="99"/>
    <w:unhideWhenUsed/>
    <w:rsid w:val="000817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17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en.clemson.edu/joe/vol29/iss2/31" TargetMode="External"/><Relationship Id="rId13" Type="http://schemas.openxmlformats.org/officeDocument/2006/relationships/hyperlink" Target="https://doi.org/10.1007/s10464-012-9558-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pen.clemson.edu/joe/vol45/iss1/4" TargetMode="External"/><Relationship Id="rId12" Type="http://schemas.openxmlformats.org/officeDocument/2006/relationships/hyperlink" Target="https://doi.org/10.3733/ucanr.8699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34068/joe.49.01.12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open.clemson.edu/joe/vol47/iss6/24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pen.clemson.edu/joe/vol39/iss1/8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doi.org/10.3733/001c.16938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1077</Words>
  <Characters>6139</Characters>
  <Application>Microsoft Office Word</Application>
  <DocSecurity>0</DocSecurity>
  <Lines>51</Lines>
  <Paragraphs>14</Paragraphs>
  <ScaleCrop>false</ScaleCrop>
  <Company/>
  <LinksUpToDate>false</LinksUpToDate>
  <CharactersWithSpaces>7202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A Thompson</dc:creator>
  <cp:keywords/>
  <dc:description/>
  <cp:lastModifiedBy>Deborah A Thompson</cp:lastModifiedBy>
  <cp:revision>8</cp:revision>
  <dcterms:created xsi:type="dcterms:W3CDTF">2026-07-08T20:32:00Z</dcterms:created>
  <dcterms:modified xsi:type="dcterms:W3CDTF">2026-09-22T18:42:00Z</dcterms:modified>
</cp:coreProperties>
</file>